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25" w:type="dxa"/>
        <w:tblBorders>
          <w:top w:val="nil"/>
          <w:left w:val="nil"/>
          <w:bottom w:val="nil"/>
          <w:right w:val="nil"/>
          <w:insideH w:val="nil"/>
          <w:insideV w:val="nil"/>
        </w:tblBorders>
        <w:tblLayout w:type="fixed"/>
        <w:tblLook w:val="04A0" w:firstRow="1" w:lastRow="0" w:firstColumn="1" w:lastColumn="0" w:noHBand="0" w:noVBand="1"/>
      </w:tblPr>
      <w:tblGrid>
        <w:gridCol w:w="1564"/>
        <w:gridCol w:w="8182"/>
        <w:gridCol w:w="1279"/>
      </w:tblGrid>
      <w:tr w:rsidR="00274334">
        <w:trPr>
          <w:trHeight w:val="1421"/>
        </w:trPr>
        <w:tc>
          <w:tcPr>
            <w:tcW w:w="1564" w:type="dxa"/>
          </w:tcPr>
          <w:p w:rsidR="00274334" w:rsidRDefault="00FC4197">
            <w:pPr>
              <w:pStyle w:val="Heading1"/>
              <w:spacing w:before="0"/>
              <w:outlineLvl w:val="0"/>
              <w:rPr>
                <w:color w:val="4F81BD" w:themeColor="accent1"/>
              </w:rPr>
            </w:pPr>
            <w:r>
              <w:rPr>
                <w:noProof/>
              </w:rPr>
              <w:drawing>
                <wp:inline distT="0" distB="0" distL="114300" distR="114300">
                  <wp:extent cx="822960" cy="1143000"/>
                  <wp:effectExtent l="0" t="0" r="0" b="0"/>
                  <wp:docPr id="1" name="Picture_10" descr="Picture_10"/>
                  <wp:cNvGraphicFramePr/>
                  <a:graphic xmlns:a="http://schemas.openxmlformats.org/drawingml/2006/main">
                    <a:graphicData uri="http://schemas.openxmlformats.org/drawingml/2006/picture">
                      <pic:pic xmlns:pic="http://schemas.openxmlformats.org/drawingml/2006/picture">
                        <pic:nvPicPr>
                          <pic:cNvPr id="0" name="Picture_10"/>
                          <pic:cNvPicPr/>
                        </pic:nvPicPr>
                        <pic:blipFill>
                          <a:blip r:embed="rId7"/>
                          <a:stretch>
                            <a:fillRect/>
                          </a:stretch>
                        </pic:blipFill>
                        <pic:spPr>
                          <a:xfrm>
                            <a:off x="0" y="0"/>
                            <a:ext cx="822960" cy="1143000"/>
                          </a:xfrm>
                          <a:prstGeom prst="rect">
                            <a:avLst/>
                          </a:prstGeom>
                        </pic:spPr>
                      </pic:pic>
                    </a:graphicData>
                  </a:graphic>
                </wp:inline>
              </w:drawing>
            </w:r>
          </w:p>
        </w:tc>
        <w:tc>
          <w:tcPr>
            <w:tcW w:w="8182" w:type="dxa"/>
            <w:tcBorders>
              <w:bottom w:val="single" w:sz="18" w:space="0" w:color="548DD4" w:themeColor="text2" w:themeTint="99"/>
            </w:tcBorders>
          </w:tcPr>
          <w:p w:rsidR="00274334" w:rsidRDefault="00FC4197">
            <w:pPr>
              <w:jc w:val="center"/>
              <w:rPr>
                <w:color w:val="4F81BD" w:themeColor="accent1"/>
              </w:rPr>
            </w:pPr>
            <w:r>
              <w:rPr>
                <w:color w:val="1F497D" w:themeColor="text2"/>
                <w:sz w:val="16"/>
                <w:szCs w:val="16"/>
              </w:rPr>
              <w:t xml:space="preserve"> </w:t>
            </w:r>
            <w:r>
              <w:rPr>
                <w:color w:val="4F81BD" w:themeColor="accent1"/>
                <w:sz w:val="50"/>
                <w:szCs w:val="50"/>
              </w:rPr>
              <w:t>Southeast Minnesota Wastewater Initiative</w:t>
            </w:r>
          </w:p>
        </w:tc>
        <w:tc>
          <w:tcPr>
            <w:tcW w:w="1279" w:type="dxa"/>
            <w:tcBorders>
              <w:right w:val="nil"/>
            </w:tcBorders>
          </w:tcPr>
          <w:p w:rsidR="00274334" w:rsidRDefault="00FC4197">
            <w:pPr>
              <w:pStyle w:val="Heading1"/>
              <w:spacing w:before="0"/>
              <w:jc w:val="right"/>
              <w:outlineLvl w:val="0"/>
              <w:rPr>
                <w:color w:val="4F81BD" w:themeColor="accent1"/>
              </w:rPr>
            </w:pPr>
            <w:r>
              <w:rPr>
                <w:noProof/>
              </w:rPr>
              <w:drawing>
                <wp:inline distT="0" distB="0" distL="114300" distR="114300">
                  <wp:extent cx="609600" cy="1120775"/>
                  <wp:effectExtent l="0" t="0" r="0" b="0"/>
                  <wp:docPr id="2" name="cleanwater.png" descr="cleanwater.png"/>
                  <wp:cNvGraphicFramePr/>
                  <a:graphic xmlns:a="http://schemas.openxmlformats.org/drawingml/2006/main">
                    <a:graphicData uri="http://schemas.openxmlformats.org/drawingml/2006/picture">
                      <pic:pic xmlns:pic="http://schemas.openxmlformats.org/drawingml/2006/picture">
                        <pic:nvPicPr>
                          <pic:cNvPr id="1" name="cleanwater.png"/>
                          <pic:cNvPicPr/>
                        </pic:nvPicPr>
                        <pic:blipFill>
                          <a:blip r:embed="rId8"/>
                          <a:stretch>
                            <a:fillRect/>
                          </a:stretch>
                        </pic:blipFill>
                        <pic:spPr>
                          <a:xfrm>
                            <a:off x="0" y="0"/>
                            <a:ext cx="609600" cy="1120775"/>
                          </a:xfrm>
                          <a:prstGeom prst="rect">
                            <a:avLst/>
                          </a:prstGeom>
                        </pic:spPr>
                      </pic:pic>
                    </a:graphicData>
                  </a:graphic>
                </wp:inline>
              </w:drawing>
            </w:r>
          </w:p>
        </w:tc>
      </w:tr>
    </w:tbl>
    <w:p w:rsidR="00274334" w:rsidRDefault="00274334">
      <w:pPr>
        <w:pStyle w:val="Heading1"/>
        <w:keepNext w:val="0"/>
        <w:keepLines w:val="0"/>
        <w:widowControl w:val="0"/>
        <w:spacing w:before="0" w:line="20" w:lineRule="exact"/>
        <w:rPr>
          <w:color w:val="4F81BD" w:themeColor="accent1"/>
        </w:rPr>
      </w:pPr>
    </w:p>
    <w:tbl>
      <w:tblPr>
        <w:tblStyle w:val="TableGrid"/>
        <w:tblW w:w="11016" w:type="auto"/>
        <w:tblBorders>
          <w:top w:val="nil"/>
          <w:left w:val="nil"/>
          <w:bottom w:val="nil"/>
          <w:right w:val="nil"/>
          <w:insideH w:val="nil"/>
          <w:insideV w:val="nil"/>
        </w:tblBorders>
        <w:tblLayout w:type="fixed"/>
        <w:tblLook w:val="04A0" w:firstRow="1" w:lastRow="0" w:firstColumn="1" w:lastColumn="0" w:noHBand="0" w:noVBand="1"/>
      </w:tblPr>
      <w:tblGrid>
        <w:gridCol w:w="3888"/>
        <w:gridCol w:w="7128"/>
      </w:tblGrid>
      <w:tr w:rsidR="00274334">
        <w:trPr>
          <w:trHeight w:val="144"/>
        </w:trPr>
        <w:tc>
          <w:tcPr>
            <w:tcW w:w="3888" w:type="dxa"/>
            <w:tcBorders>
              <w:top w:val="single" w:sz="4" w:space="0" w:color="auto"/>
              <w:left w:val="single" w:sz="4" w:space="0" w:color="auto"/>
              <w:bottom w:val="single" w:sz="4" w:space="0" w:color="auto"/>
              <w:right w:val="single" w:sz="4" w:space="0" w:color="auto"/>
            </w:tcBorders>
            <w:shd w:val="clear" w:color="auto" w:fill="8DB3E2" w:themeFill="text2" w:themeFillTint="66"/>
          </w:tcPr>
          <w:tbl>
            <w:tblPr>
              <w:tblStyle w:val="TableGrid"/>
              <w:tblW w:w="3685" w:type="dxa"/>
              <w:tblBorders>
                <w:top w:val="nil"/>
                <w:left w:val="nil"/>
                <w:bottom w:val="nil"/>
                <w:right w:val="nil"/>
                <w:insideH w:val="nil"/>
                <w:insideV w:val="nil"/>
              </w:tblBorders>
              <w:tblLayout w:type="fixed"/>
              <w:tblCellMar>
                <w:top w:w="43" w:type="dxa"/>
                <w:left w:w="115" w:type="dxa"/>
                <w:bottom w:w="43" w:type="dxa"/>
                <w:right w:w="115" w:type="dxa"/>
              </w:tblCellMar>
              <w:tblLook w:val="04A0" w:firstRow="1" w:lastRow="0" w:firstColumn="1" w:lastColumn="0" w:noHBand="0" w:noVBand="1"/>
            </w:tblPr>
            <w:tblGrid>
              <w:gridCol w:w="3685"/>
            </w:tblGrid>
            <w:tr w:rsidR="00274334">
              <w:trPr>
                <w:trHeight w:val="2028"/>
              </w:trPr>
              <w:tc>
                <w:tcPr>
                  <w:tcW w:w="3685" w:type="dxa"/>
                  <w:tcBorders>
                    <w:right w:val="nil"/>
                  </w:tcBorders>
                </w:tcPr>
                <w:p w:rsidR="00274334" w:rsidRDefault="00FC4197">
                  <w:pPr>
                    <w:widowControl w:val="0"/>
                    <w:rPr>
                      <w:rFonts w:ascii="Calibri,Bold" w:eastAsiaTheme="minorHAnsi" w:hAnsi="Calibri,Bold" w:cs="Calibri,Bold"/>
                      <w:b/>
                      <w:bCs/>
                      <w:color w:val="244061"/>
                      <w:sz w:val="20"/>
                      <w:szCs w:val="20"/>
                    </w:rPr>
                  </w:pPr>
                  <w:r>
                    <w:rPr>
                      <w:rFonts w:ascii="Calibri,Bold" w:eastAsiaTheme="minorHAnsi" w:hAnsi="Calibri,Bold" w:cs="Calibri,Bold"/>
                      <w:b/>
                      <w:color w:val="244061"/>
                      <w:sz w:val="20"/>
                      <w:szCs w:val="20"/>
                    </w:rPr>
                    <w:t xml:space="preserve">Progress as of </w:t>
                  </w:r>
                  <w:r>
                    <w:fldChar w:fldCharType="begin"/>
                  </w:r>
                  <w:r>
                    <w:instrText xml:space="preserve"> DATE  \@ "MMMM yyyy" </w:instrText>
                  </w:r>
                  <w:r>
                    <w:fldChar w:fldCharType="separate"/>
                  </w:r>
                  <w:r w:rsidR="00E04B3B">
                    <w:rPr>
                      <w:noProof/>
                    </w:rPr>
                    <w:t>December 2016</w:t>
                  </w:r>
                  <w:r>
                    <w:rPr>
                      <w:rFonts w:ascii="Calibri,Bold" w:eastAsiaTheme="minorHAnsi" w:hAnsi="Calibri,Bold" w:cs="Calibri,Bold"/>
                      <w:b/>
                      <w:color w:val="244061"/>
                      <w:sz w:val="20"/>
                      <w:szCs w:val="20"/>
                    </w:rPr>
                    <w:fldChar w:fldCharType="end"/>
                  </w:r>
                </w:p>
                <w:tbl>
                  <w:tblPr>
                    <w:tblStyle w:val="LightGrid-Accent1"/>
                    <w:tblW w:w="350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A0" w:firstRow="1" w:lastRow="0" w:firstColumn="1" w:lastColumn="0" w:noHBand="1" w:noVBand="0"/>
                  </w:tblPr>
                  <w:tblGrid>
                    <w:gridCol w:w="955"/>
                    <w:gridCol w:w="1350"/>
                    <w:gridCol w:w="1198"/>
                  </w:tblGrid>
                  <w:tr w:rsidR="00274334" w:rsidTr="002743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5" w:type="dxa"/>
                        <w:tcBorders>
                          <w:top w:val="none" w:sz="0" w:space="0" w:color="auto"/>
                          <w:left w:val="none" w:sz="0" w:space="0" w:color="auto"/>
                          <w:bottom w:val="none" w:sz="0" w:space="0" w:color="auto"/>
                        </w:tcBorders>
                      </w:tcPr>
                      <w:p w:rsidR="00274334" w:rsidRDefault="00FC4197">
                        <w:pPr>
                          <w:widowControl w:val="0"/>
                          <w:jc w:val="center"/>
                          <w:rPr>
                            <w:color w:val="FFFFFF" w:themeColor="background1"/>
                            <w:sz w:val="20"/>
                            <w:szCs w:val="20"/>
                          </w:rPr>
                        </w:pPr>
                        <w:r>
                          <w:rPr>
                            <w:rFonts w:asciiTheme="minorHAnsi" w:hAnsiTheme="minorHAnsi"/>
                            <w:color w:val="FFFFFF" w:themeColor="background1"/>
                            <w:sz w:val="20"/>
                            <w:szCs w:val="20"/>
                          </w:rPr>
                          <w:t>Fund Type</w:t>
                        </w:r>
                      </w:p>
                    </w:tc>
                    <w:tc>
                      <w:tcPr>
                        <w:tcW w:w="1350" w:type="dxa"/>
                        <w:tcBorders>
                          <w:top w:val="none" w:sz="0" w:space="0" w:color="auto"/>
                          <w:bottom w:val="none" w:sz="0" w:space="0" w:color="auto"/>
                        </w:tcBorders>
                      </w:tcPr>
                      <w:p w:rsidR="00274334" w:rsidRDefault="00FC4197">
                        <w:pPr>
                          <w:widowControl w:val="0"/>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rFonts w:asciiTheme="minorHAnsi" w:hAnsiTheme="minorHAnsi"/>
                            <w:color w:val="FFFFFF" w:themeColor="background1"/>
                            <w:sz w:val="20"/>
                            <w:szCs w:val="20"/>
                          </w:rPr>
                          <w:t>Budgeted</w:t>
                        </w:r>
                      </w:p>
                    </w:tc>
                    <w:tc>
                      <w:tcPr>
                        <w:tcW w:w="1198" w:type="dxa"/>
                        <w:tcBorders>
                          <w:top w:val="none" w:sz="0" w:space="0" w:color="auto"/>
                          <w:bottom w:val="none" w:sz="0" w:space="0" w:color="auto"/>
                          <w:right w:val="none" w:sz="0" w:space="0" w:color="auto"/>
                        </w:tcBorders>
                      </w:tcPr>
                      <w:p w:rsidR="00274334" w:rsidRDefault="00FC4197">
                        <w:pPr>
                          <w:widowControl w:val="0"/>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rFonts w:asciiTheme="minorHAnsi" w:hAnsiTheme="minorHAnsi"/>
                            <w:color w:val="FFFFFF" w:themeColor="background1"/>
                            <w:sz w:val="20"/>
                            <w:szCs w:val="20"/>
                          </w:rPr>
                          <w:t>Spent</w:t>
                        </w:r>
                      </w:p>
                    </w:tc>
                  </w:tr>
                  <w:tr w:rsidR="00274334" w:rsidTr="00274334">
                    <w:trPr>
                      <w:trHeight w:val="20"/>
                    </w:trPr>
                    <w:tc>
                      <w:tcPr>
                        <w:cnfStyle w:val="001000000000" w:firstRow="0" w:lastRow="0" w:firstColumn="1" w:lastColumn="0" w:oddVBand="0" w:evenVBand="0" w:oddHBand="0" w:evenHBand="0" w:firstRowFirstColumn="0" w:firstRowLastColumn="0" w:lastRowFirstColumn="0" w:lastRowLastColumn="0"/>
                        <w:tcW w:w="955" w:type="dxa"/>
                        <w:shd w:val="clear" w:color="auto" w:fill="D3DFEE" w:themeFill="accent1" w:themeFillTint="3F"/>
                      </w:tcPr>
                      <w:p w:rsidR="00274334" w:rsidRDefault="00FC4197">
                        <w:pPr>
                          <w:widowControl w:val="0"/>
                          <w:rPr>
                            <w:sz w:val="20"/>
                            <w:szCs w:val="20"/>
                          </w:rPr>
                        </w:pPr>
                        <w:r>
                          <w:rPr>
                            <w:rFonts w:asciiTheme="minorHAnsi" w:hAnsiTheme="minorHAnsi"/>
                            <w:sz w:val="20"/>
                            <w:szCs w:val="20"/>
                          </w:rPr>
                          <w:t xml:space="preserve">Grant </w:t>
                        </w:r>
                      </w:p>
                    </w:tc>
                    <w:tc>
                      <w:tcPr>
                        <w:tcW w:w="1350" w:type="dxa"/>
                        <w:shd w:val="clear" w:color="auto" w:fill="D3DFEE" w:themeFill="accent1" w:themeFillTint="3F"/>
                      </w:tcPr>
                      <w:p w:rsidR="00274334" w:rsidRDefault="00FC4197">
                        <w:pPr>
                          <w:widowControl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$263,400.00</w:t>
                        </w:r>
                      </w:p>
                    </w:tc>
                    <w:tc>
                      <w:tcPr>
                        <w:tcW w:w="1198" w:type="dxa"/>
                        <w:shd w:val="clear" w:color="auto" w:fill="D3DFEE" w:themeFill="accent1" w:themeFillTint="3F"/>
                      </w:tcPr>
                      <w:p w:rsidR="00274334" w:rsidRDefault="00FC4197">
                        <w:pPr>
                          <w:widowControl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$263,400.00</w:t>
                        </w:r>
                      </w:p>
                    </w:tc>
                  </w:tr>
                  <w:tr w:rsidR="00274334" w:rsidTr="00274334">
                    <w:trPr>
                      <w:trHeight w:val="20"/>
                    </w:trPr>
                    <w:tc>
                      <w:tcPr>
                        <w:cnfStyle w:val="001000000000" w:firstRow="0" w:lastRow="0" w:firstColumn="1" w:lastColumn="0" w:oddVBand="0" w:evenVBand="0" w:oddHBand="0" w:evenHBand="0" w:firstRowFirstColumn="0" w:firstRowLastColumn="0" w:lastRowFirstColumn="0" w:lastRowLastColumn="0"/>
                        <w:tcW w:w="955" w:type="dxa"/>
                      </w:tcPr>
                      <w:p w:rsidR="00274334" w:rsidRDefault="00FC4197">
                        <w:pPr>
                          <w:widowControl w:val="0"/>
                          <w:rPr>
                            <w:sz w:val="20"/>
                            <w:szCs w:val="20"/>
                          </w:rPr>
                        </w:pPr>
                        <w:r>
                          <w:rPr>
                            <w:rFonts w:asciiTheme="minorHAnsi" w:hAnsiTheme="minorHAnsi"/>
                            <w:sz w:val="20"/>
                            <w:szCs w:val="20"/>
                          </w:rPr>
                          <w:t xml:space="preserve">Match </w:t>
                        </w:r>
                      </w:p>
                    </w:tc>
                    <w:tc>
                      <w:tcPr>
                        <w:tcW w:w="1350" w:type="dxa"/>
                      </w:tcPr>
                      <w:p w:rsidR="00274334" w:rsidRDefault="00FC4197">
                        <w:pPr>
                          <w:widowControl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$65,850.00</w:t>
                        </w:r>
                      </w:p>
                    </w:tc>
                    <w:tc>
                      <w:tcPr>
                        <w:tcW w:w="1198" w:type="dxa"/>
                      </w:tcPr>
                      <w:p w:rsidR="00274334" w:rsidRDefault="00FC4197">
                        <w:pPr>
                          <w:widowControl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$206,386.00</w:t>
                        </w:r>
                      </w:p>
                    </w:tc>
                  </w:tr>
                  <w:tr w:rsidR="00274334" w:rsidTr="00274334">
                    <w:trPr>
                      <w:trHeight w:val="20"/>
                    </w:trPr>
                    <w:tc>
                      <w:tcPr>
                        <w:cnfStyle w:val="001000000000" w:firstRow="0" w:lastRow="0" w:firstColumn="1" w:lastColumn="0" w:oddVBand="0" w:evenVBand="0" w:oddHBand="0" w:evenHBand="0" w:firstRowFirstColumn="0" w:firstRowLastColumn="0" w:lastRowFirstColumn="0" w:lastRowLastColumn="0"/>
                        <w:tcW w:w="955" w:type="dxa"/>
                        <w:shd w:val="clear" w:color="auto" w:fill="D3DFEE" w:themeFill="accent1" w:themeFillTint="3F"/>
                      </w:tcPr>
                      <w:p w:rsidR="00274334" w:rsidRDefault="00FC4197">
                        <w:pPr>
                          <w:widowControl w:val="0"/>
                          <w:rPr>
                            <w:sz w:val="20"/>
                            <w:szCs w:val="20"/>
                          </w:rPr>
                        </w:pPr>
                        <w:r>
                          <w:rPr>
                            <w:rFonts w:asciiTheme="minorHAnsi" w:hAnsiTheme="minorHAnsi"/>
                            <w:sz w:val="20"/>
                            <w:szCs w:val="20"/>
                          </w:rPr>
                          <w:t xml:space="preserve">Other </w:t>
                        </w:r>
                      </w:p>
                    </w:tc>
                    <w:tc>
                      <w:tcPr>
                        <w:tcW w:w="1350" w:type="dxa"/>
                        <w:shd w:val="clear" w:color="auto" w:fill="D3DFEE" w:themeFill="accent1" w:themeFillTint="3F"/>
                      </w:tcPr>
                      <w:p w:rsidR="00274334" w:rsidRDefault="00274334">
                        <w:pPr>
                          <w:widowControl w:val="0"/>
                          <w:cnfStyle w:val="000000000000" w:firstRow="0" w:lastRow="0" w:firstColumn="0" w:lastColumn="0" w:oddVBand="0" w:evenVBand="0" w:oddHBand="0" w:evenHBand="0" w:firstRowFirstColumn="0" w:firstRowLastColumn="0" w:lastRowFirstColumn="0" w:lastRowLastColumn="0"/>
                          <w:rPr>
                            <w:sz w:val="20"/>
                            <w:szCs w:val="20"/>
                          </w:rPr>
                        </w:pPr>
                      </w:p>
                    </w:tc>
                    <w:tc>
                      <w:tcPr>
                        <w:tcW w:w="1198" w:type="dxa"/>
                        <w:shd w:val="clear" w:color="auto" w:fill="D3DFEE" w:themeFill="accent1" w:themeFillTint="3F"/>
                      </w:tcPr>
                      <w:p w:rsidR="00274334" w:rsidRDefault="00274334">
                        <w:pPr>
                          <w:widowControl w:val="0"/>
                          <w:cnfStyle w:val="000000000000" w:firstRow="0" w:lastRow="0" w:firstColumn="0" w:lastColumn="0" w:oddVBand="0" w:evenVBand="0" w:oddHBand="0" w:evenHBand="0" w:firstRowFirstColumn="0" w:firstRowLastColumn="0" w:lastRowFirstColumn="0" w:lastRowLastColumn="0"/>
                          <w:rPr>
                            <w:sz w:val="20"/>
                            <w:szCs w:val="20"/>
                          </w:rPr>
                        </w:pPr>
                      </w:p>
                    </w:tc>
                  </w:tr>
                  <w:tr w:rsidR="00274334" w:rsidTr="00274334">
                    <w:trPr>
                      <w:trHeight w:val="20"/>
                    </w:trPr>
                    <w:tc>
                      <w:tcPr>
                        <w:cnfStyle w:val="001000000000" w:firstRow="0" w:lastRow="0" w:firstColumn="1" w:lastColumn="0" w:oddVBand="0" w:evenVBand="0" w:oddHBand="0" w:evenHBand="0" w:firstRowFirstColumn="0" w:firstRowLastColumn="0" w:lastRowFirstColumn="0" w:lastRowLastColumn="0"/>
                        <w:tcW w:w="955" w:type="dxa"/>
                      </w:tcPr>
                      <w:p w:rsidR="00274334" w:rsidRDefault="00FC4197">
                        <w:pPr>
                          <w:widowControl w:val="0"/>
                          <w:rPr>
                            <w:sz w:val="20"/>
                            <w:szCs w:val="20"/>
                          </w:rPr>
                        </w:pPr>
                        <w:r>
                          <w:rPr>
                            <w:rFonts w:asciiTheme="minorHAnsi" w:hAnsiTheme="minorHAnsi"/>
                            <w:sz w:val="20"/>
                            <w:szCs w:val="20"/>
                          </w:rPr>
                          <w:t xml:space="preserve">Total </w:t>
                        </w:r>
                      </w:p>
                    </w:tc>
                    <w:tc>
                      <w:tcPr>
                        <w:tcW w:w="1350" w:type="dxa"/>
                      </w:tcPr>
                      <w:p w:rsidR="00274334" w:rsidRDefault="00FC4197">
                        <w:pPr>
                          <w:widowControl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$329,250.00</w:t>
                        </w:r>
                      </w:p>
                    </w:tc>
                    <w:tc>
                      <w:tcPr>
                        <w:tcW w:w="1198" w:type="dxa"/>
                      </w:tcPr>
                      <w:p w:rsidR="00274334" w:rsidRDefault="00FC4197">
                        <w:pPr>
                          <w:widowControl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$469,786.00</w:t>
                        </w:r>
                      </w:p>
                    </w:tc>
                  </w:tr>
                </w:tbl>
                <w:p w:rsidR="00274334" w:rsidRDefault="00274334"/>
              </w:tc>
            </w:tr>
            <w:tr w:rsidR="00274334">
              <w:tc>
                <w:tcPr>
                  <w:tcW w:w="3685" w:type="dxa"/>
                  <w:tcBorders>
                    <w:right w:val="nil"/>
                  </w:tcBorders>
                </w:tcPr>
                <w:p w:rsidR="00274334" w:rsidRDefault="00FC4197">
                  <w:pPr>
                    <w:widowControl w:val="0"/>
                  </w:pPr>
                  <w:r>
                    <w:rPr>
                      <w:rFonts w:ascii="Calibri,Bold" w:eastAsiaTheme="minorHAnsi" w:hAnsi="Calibri,Bold" w:cs="Calibri,Bold"/>
                      <w:b/>
                      <w:color w:val="244061"/>
                      <w:sz w:val="20"/>
                      <w:szCs w:val="20"/>
                    </w:rPr>
                    <w:t>Targeted Water</w:t>
                  </w:r>
                  <w:r>
                    <w:rPr>
                      <w:rFonts w:ascii="Calibri" w:eastAsiaTheme="minorHAnsi" w:hAnsi="Calibri" w:cs="Calibri"/>
                      <w:color w:val="244061"/>
                      <w:sz w:val="20"/>
                      <w:szCs w:val="20"/>
                    </w:rPr>
                    <w:t>:</w:t>
                  </w:r>
                </w:p>
                <w:p w:rsidR="00274334" w:rsidRDefault="00FC4197">
                  <w:pPr>
                    <w:widowControl w:val="0"/>
                  </w:pPr>
                  <w:r>
                    <w:rPr>
                      <w:rFonts w:ascii="Calibri,Bold" w:eastAsiaTheme="minorHAnsi" w:hAnsi="Calibri,Bold" w:cs="Calibri,Bold"/>
                      <w:b/>
                      <w:color w:val="244061"/>
                      <w:sz w:val="20"/>
                      <w:szCs w:val="20"/>
                    </w:rPr>
                    <w:t>Project Sponsor</w:t>
                  </w:r>
                  <w:r>
                    <w:rPr>
                      <w:rFonts w:ascii="Calibri" w:eastAsiaTheme="minorHAnsi" w:hAnsi="Calibri" w:cs="Calibri"/>
                      <w:color w:val="244061"/>
                      <w:sz w:val="20"/>
                      <w:szCs w:val="20"/>
                    </w:rPr>
                    <w:t>:</w:t>
                  </w:r>
                </w:p>
                <w:p w:rsidR="00274334" w:rsidRDefault="00FC4197">
                  <w:pPr>
                    <w:widowControl w:val="0"/>
                    <w:rPr>
                      <w:color w:val="FFFFFF" w:themeColor="background1"/>
                      <w:sz w:val="20"/>
                      <w:szCs w:val="20"/>
                    </w:rPr>
                  </w:pPr>
                  <w:r>
                    <w:rPr>
                      <w:color w:val="FFFFFF" w:themeColor="background1"/>
                      <w:sz w:val="20"/>
                      <w:szCs w:val="20"/>
                    </w:rPr>
                    <w:t>SE Minnesota Water Resources Board</w:t>
                  </w:r>
                </w:p>
                <w:p w:rsidR="00274334" w:rsidRDefault="00FC4197">
                  <w:pPr>
                    <w:widowControl w:val="0"/>
                  </w:pPr>
                  <w:r>
                    <w:rPr>
                      <w:rFonts w:ascii="Calibri,Bold" w:eastAsiaTheme="minorHAnsi" w:hAnsi="Calibri,Bold" w:cs="Calibri,Bold"/>
                      <w:b/>
                      <w:color w:val="244061"/>
                      <w:sz w:val="20"/>
                      <w:szCs w:val="20"/>
                    </w:rPr>
                    <w:t>Grant Period:</w:t>
                  </w:r>
                </w:p>
                <w:p w:rsidR="00274334" w:rsidRDefault="00FC4197">
                  <w:pPr>
                    <w:widowControl w:val="0"/>
                    <w:rPr>
                      <w:color w:val="FFFFFF" w:themeColor="background1"/>
                      <w:sz w:val="20"/>
                      <w:szCs w:val="20"/>
                    </w:rPr>
                  </w:pPr>
                  <w:r>
                    <w:rPr>
                      <w:color w:val="FFFFFF" w:themeColor="background1"/>
                      <w:sz w:val="20"/>
                      <w:szCs w:val="20"/>
                    </w:rPr>
                    <w:t>January 2014 through December 2016</w:t>
                  </w:r>
                </w:p>
                <w:p w:rsidR="00274334" w:rsidRDefault="00FC4197">
                  <w:pPr>
                    <w:widowControl w:val="0"/>
                    <w:rPr>
                      <w:sz w:val="20"/>
                      <w:szCs w:val="20"/>
                    </w:rPr>
                  </w:pPr>
                  <w:r>
                    <w:rPr>
                      <w:rFonts w:ascii="Calibri,Bold" w:eastAsiaTheme="minorHAnsi" w:hAnsi="Calibri,Bold" w:cs="Calibri,Bold"/>
                      <w:b/>
                      <w:color w:val="244061"/>
                      <w:sz w:val="20"/>
                      <w:szCs w:val="20"/>
                    </w:rPr>
                    <w:t xml:space="preserve">Project Contact: </w:t>
                  </w:r>
                </w:p>
                <w:p w:rsidR="00274334" w:rsidRDefault="00FC4197">
                  <w:pPr>
                    <w:widowControl w:val="0"/>
                    <w:rPr>
                      <w:color w:val="FFFFFF" w:themeColor="background1"/>
                      <w:sz w:val="20"/>
                      <w:szCs w:val="20"/>
                    </w:rPr>
                  </w:pPr>
                  <w:r>
                    <w:rPr>
                      <w:color w:val="FFFFFF" w:themeColor="background1"/>
                      <w:sz w:val="20"/>
                      <w:szCs w:val="20"/>
                    </w:rPr>
                    <w:t xml:space="preserve">Linda  Dahl </w:t>
                  </w:r>
                </w:p>
                <w:p w:rsidR="00274334" w:rsidRDefault="00FC4197">
                  <w:pPr>
                    <w:widowControl w:val="0"/>
                    <w:rPr>
                      <w:color w:val="FFFFFF" w:themeColor="background1"/>
                      <w:sz w:val="20"/>
                      <w:szCs w:val="20"/>
                    </w:rPr>
                  </w:pPr>
                  <w:r>
                    <w:rPr>
                      <w:color w:val="FFFFFF" w:themeColor="background1"/>
                      <w:sz w:val="20"/>
                      <w:szCs w:val="20"/>
                    </w:rPr>
                    <w:t>507-457-5223</w:t>
                  </w:r>
                </w:p>
                <w:p w:rsidR="00274334" w:rsidRDefault="00FC4197">
                  <w:pPr>
                    <w:widowControl w:val="0"/>
                    <w:rPr>
                      <w:color w:val="FFFFFF" w:themeColor="background1"/>
                      <w:sz w:val="20"/>
                      <w:szCs w:val="20"/>
                    </w:rPr>
                  </w:pPr>
                  <w:r>
                    <w:rPr>
                      <w:color w:val="FFFFFF" w:themeColor="background1"/>
                      <w:sz w:val="20"/>
                      <w:szCs w:val="20"/>
                    </w:rPr>
                    <w:t>ldahl@winona.edu</w:t>
                  </w:r>
                </w:p>
                <w:p w:rsidR="00274334" w:rsidRDefault="00FC4197">
                  <w:pPr>
                    <w:widowControl w:val="0"/>
                  </w:pPr>
                  <w:r>
                    <w:rPr>
                      <w:color w:val="FFFFFF" w:themeColor="background1"/>
                      <w:sz w:val="20"/>
                      <w:szCs w:val="20"/>
                    </w:rPr>
                    <w:t xml:space="preserve">www.winona.edu/geology/WRB/WRB </w:t>
                  </w:r>
                  <w:r>
                    <w:rPr>
                      <w:color w:val="4F81BD" w:themeColor="accent1"/>
                    </w:rPr>
                    <w:t xml:space="preserve"> </w:t>
                  </w:r>
                  <w:r>
                    <w:t xml:space="preserve"> </w:t>
                  </w:r>
                </w:p>
                <w:p w:rsidR="00274334" w:rsidRDefault="00274334">
                  <w:pPr>
                    <w:widowControl w:val="0"/>
                  </w:pPr>
                </w:p>
                <w:tbl>
                  <w:tblPr>
                    <w:tblStyle w:val="LightGrid-Accent1"/>
                    <w:tblW w:w="35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A0" w:firstRow="1" w:lastRow="0" w:firstColumn="1" w:lastColumn="0" w:noHBand="1" w:noVBand="0"/>
                  </w:tblPr>
                  <w:tblGrid>
                    <w:gridCol w:w="2305"/>
                    <w:gridCol w:w="1246"/>
                  </w:tblGrid>
                  <w:tr w:rsidR="00274334" w:rsidTr="00274334">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305" w:type="dxa"/>
                        <w:tcBorders>
                          <w:top w:val="none" w:sz="0" w:space="0" w:color="auto"/>
                          <w:left w:val="none" w:sz="0" w:space="0" w:color="auto"/>
                          <w:bottom w:val="none" w:sz="0" w:space="0" w:color="auto"/>
                        </w:tcBorders>
                      </w:tcPr>
                      <w:p w:rsidR="00274334" w:rsidRDefault="00FC4197">
                        <w:pPr>
                          <w:widowControl w:val="0"/>
                          <w:jc w:val="center"/>
                          <w:rPr>
                            <w:color w:val="FFFFFF" w:themeColor="background1"/>
                            <w:sz w:val="20"/>
                            <w:szCs w:val="20"/>
                          </w:rPr>
                        </w:pPr>
                        <w:r>
                          <w:rPr>
                            <w:rFonts w:asciiTheme="minorHAnsi" w:hAnsiTheme="minorHAnsi"/>
                            <w:color w:val="FFFFFF" w:themeColor="background1"/>
                            <w:sz w:val="20"/>
                            <w:szCs w:val="20"/>
                          </w:rPr>
                          <w:t>Activity Name</w:t>
                        </w:r>
                      </w:p>
                    </w:tc>
                    <w:tc>
                      <w:tcPr>
                        <w:tcW w:w="1246" w:type="dxa"/>
                        <w:tcBorders>
                          <w:top w:val="none" w:sz="0" w:space="0" w:color="auto"/>
                          <w:bottom w:val="none" w:sz="0" w:space="0" w:color="auto"/>
                          <w:right w:val="none" w:sz="0" w:space="0" w:color="auto"/>
                        </w:tcBorders>
                      </w:tcPr>
                      <w:p w:rsidR="00274334" w:rsidRDefault="00FC4197">
                        <w:pPr>
                          <w:widowControl w:val="0"/>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Pr>
                            <w:rFonts w:asciiTheme="minorHAnsi" w:hAnsiTheme="minorHAnsi"/>
                            <w:color w:val="FFFFFF" w:themeColor="background1"/>
                            <w:sz w:val="20"/>
                            <w:szCs w:val="20"/>
                          </w:rPr>
                          <w:t>Budgeted</w:t>
                        </w:r>
                      </w:p>
                    </w:tc>
                  </w:tr>
                  <w:tr w:rsidR="00274334" w:rsidTr="00274334">
                    <w:trPr>
                      <w:trHeight w:val="241"/>
                    </w:trPr>
                    <w:tc>
                      <w:tcPr>
                        <w:cnfStyle w:val="001000000000" w:firstRow="0" w:lastRow="0" w:firstColumn="1" w:lastColumn="0" w:oddVBand="0" w:evenVBand="0" w:oddHBand="0" w:evenHBand="0" w:firstRowFirstColumn="0" w:firstRowLastColumn="0" w:lastRowFirstColumn="0" w:lastRowLastColumn="0"/>
                        <w:tcW w:w="2305" w:type="dxa"/>
                        <w:shd w:val="clear" w:color="auto" w:fill="D3DFEE" w:themeFill="accent1" w:themeFillTint="3F"/>
                      </w:tcPr>
                      <w:p w:rsidR="00274334" w:rsidRDefault="00FC4197">
                        <w:pPr>
                          <w:widowControl w:val="0"/>
                          <w:rPr>
                            <w:sz w:val="20"/>
                            <w:szCs w:val="20"/>
                          </w:rPr>
                        </w:pPr>
                        <w:r>
                          <w:rPr>
                            <w:rFonts w:asciiTheme="minorHAnsi" w:hAnsiTheme="minorHAnsi"/>
                            <w:sz w:val="20"/>
                            <w:szCs w:val="20"/>
                          </w:rPr>
                          <w:t>Community Facilitation and Technical Assistance</w:t>
                        </w:r>
                      </w:p>
                    </w:tc>
                    <w:tc>
                      <w:tcPr>
                        <w:tcW w:w="1246" w:type="dxa"/>
                        <w:shd w:val="clear" w:color="auto" w:fill="D3DFEE" w:themeFill="accent1" w:themeFillTint="3F"/>
                      </w:tcPr>
                      <w:p w:rsidR="00274334" w:rsidRDefault="00FC4197">
                        <w:pPr>
                          <w:widowControl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$251,400.00</w:t>
                        </w:r>
                      </w:p>
                    </w:tc>
                  </w:tr>
                  <w:tr w:rsidR="00274334" w:rsidTr="00274334">
                    <w:trPr>
                      <w:trHeight w:val="241"/>
                    </w:trPr>
                    <w:tc>
                      <w:tcPr>
                        <w:cnfStyle w:val="001000000000" w:firstRow="0" w:lastRow="0" w:firstColumn="1" w:lastColumn="0" w:oddVBand="0" w:evenVBand="0" w:oddHBand="0" w:evenHBand="0" w:firstRowFirstColumn="0" w:firstRowLastColumn="0" w:lastRowFirstColumn="0" w:lastRowLastColumn="0"/>
                        <w:tcW w:w="2305" w:type="dxa"/>
                      </w:tcPr>
                      <w:p w:rsidR="00274334" w:rsidRDefault="00FC4197">
                        <w:pPr>
                          <w:widowControl w:val="0"/>
                          <w:rPr>
                            <w:sz w:val="20"/>
                            <w:szCs w:val="20"/>
                          </w:rPr>
                        </w:pPr>
                        <w:r>
                          <w:rPr>
                            <w:rFonts w:asciiTheme="minorHAnsi" w:hAnsiTheme="minorHAnsi"/>
                            <w:sz w:val="20"/>
                            <w:szCs w:val="20"/>
                          </w:rPr>
                          <w:t>Community Facilitation and Technical Assistance</w:t>
                        </w:r>
                      </w:p>
                    </w:tc>
                    <w:tc>
                      <w:tcPr>
                        <w:tcW w:w="1246" w:type="dxa"/>
                      </w:tcPr>
                      <w:p w:rsidR="00274334" w:rsidRDefault="00FC4197">
                        <w:pPr>
                          <w:widowControl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$65,850.00</w:t>
                        </w:r>
                      </w:p>
                    </w:tc>
                  </w:tr>
                  <w:tr w:rsidR="00274334" w:rsidTr="00274334">
                    <w:trPr>
                      <w:trHeight w:val="241"/>
                    </w:trPr>
                    <w:tc>
                      <w:tcPr>
                        <w:cnfStyle w:val="001000000000" w:firstRow="0" w:lastRow="0" w:firstColumn="1" w:lastColumn="0" w:oddVBand="0" w:evenVBand="0" w:oddHBand="0" w:evenHBand="0" w:firstRowFirstColumn="0" w:firstRowLastColumn="0" w:lastRowFirstColumn="0" w:lastRowLastColumn="0"/>
                        <w:tcW w:w="2305" w:type="dxa"/>
                        <w:shd w:val="clear" w:color="auto" w:fill="D3DFEE" w:themeFill="accent1" w:themeFillTint="3F"/>
                      </w:tcPr>
                      <w:p w:rsidR="00274334" w:rsidRDefault="00FC4197">
                        <w:pPr>
                          <w:widowControl w:val="0"/>
                          <w:rPr>
                            <w:sz w:val="20"/>
                            <w:szCs w:val="20"/>
                          </w:rPr>
                        </w:pPr>
                        <w:r>
                          <w:rPr>
                            <w:rFonts w:asciiTheme="minorHAnsi" w:hAnsiTheme="minorHAnsi"/>
                            <w:sz w:val="20"/>
                            <w:szCs w:val="20"/>
                          </w:rPr>
                          <w:t>Grant Management and Reporting</w:t>
                        </w:r>
                      </w:p>
                    </w:tc>
                    <w:tc>
                      <w:tcPr>
                        <w:tcW w:w="1246" w:type="dxa"/>
                        <w:shd w:val="clear" w:color="auto" w:fill="D3DFEE" w:themeFill="accent1" w:themeFillTint="3F"/>
                      </w:tcPr>
                      <w:p w:rsidR="00274334" w:rsidRDefault="00FC4197">
                        <w:pPr>
                          <w:widowControl w:val="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$12,000.00</w:t>
                        </w:r>
                      </w:p>
                    </w:tc>
                  </w:tr>
                </w:tbl>
                <w:tbl>
                  <w:tblPr>
                    <w:tblStyle w:val="TableGrid"/>
                    <w:tblW w:w="3580" w:type="dxa"/>
                    <w:tblBorders>
                      <w:top w:val="nil"/>
                      <w:left w:val="nil"/>
                      <w:bottom w:val="nil"/>
                      <w:right w:val="nil"/>
                      <w:insideH w:val="nil"/>
                      <w:insideV w:val="nil"/>
                    </w:tblBorders>
                    <w:tblLayout w:type="fixed"/>
                    <w:tblLook w:val="04A0" w:firstRow="1" w:lastRow="0" w:firstColumn="1" w:lastColumn="0" w:noHBand="0" w:noVBand="1"/>
                  </w:tblPr>
                  <w:tblGrid>
                    <w:gridCol w:w="2052"/>
                    <w:gridCol w:w="1528"/>
                  </w:tblGrid>
                  <w:tr w:rsidR="00274334">
                    <w:trPr>
                      <w:trHeight w:val="269"/>
                    </w:trPr>
                    <w:tc>
                      <w:tcPr>
                        <w:tcW w:w="2052" w:type="dxa"/>
                      </w:tcPr>
                      <w:p w:rsidR="00274334" w:rsidRDefault="00FC4197">
                        <w:pPr>
                          <w:widowControl w:val="0"/>
                          <w:rPr>
                            <w:b/>
                            <w:color w:val="FFFFFF" w:themeColor="background1"/>
                            <w:sz w:val="20"/>
                            <w:szCs w:val="20"/>
                          </w:rPr>
                        </w:pPr>
                        <w:r>
                          <w:rPr>
                            <w:b/>
                            <w:color w:val="FFFFFF" w:themeColor="background1"/>
                            <w:sz w:val="20"/>
                            <w:szCs w:val="20"/>
                          </w:rPr>
                          <w:t>Total Project Budget</w:t>
                        </w:r>
                      </w:p>
                    </w:tc>
                    <w:tc>
                      <w:tcPr>
                        <w:tcW w:w="1528" w:type="dxa"/>
                        <w:tcBorders>
                          <w:right w:val="nil"/>
                        </w:tcBorders>
                      </w:tcPr>
                      <w:p w:rsidR="00274334" w:rsidRDefault="00FC4197">
                        <w:pPr>
                          <w:widowControl w:val="0"/>
                          <w:jc w:val="right"/>
                          <w:rPr>
                            <w:b/>
                            <w:color w:val="FFFFFF" w:themeColor="background1"/>
                            <w:sz w:val="20"/>
                            <w:szCs w:val="20"/>
                          </w:rPr>
                        </w:pPr>
                        <w:r>
                          <w:rPr>
                            <w:b/>
                            <w:color w:val="FFFFFF" w:themeColor="background1"/>
                            <w:sz w:val="20"/>
                            <w:szCs w:val="20"/>
                          </w:rPr>
                          <w:t>$329,250.00</w:t>
                        </w:r>
                      </w:p>
                    </w:tc>
                  </w:tr>
                </w:tbl>
                <w:p w:rsidR="00274334" w:rsidRDefault="00FC4197">
                  <w:pPr>
                    <w:widowControl w:val="0"/>
                    <w:rPr>
                      <w:color w:val="4F81BD" w:themeColor="accent1"/>
                    </w:rPr>
                  </w:pPr>
                  <w:r>
                    <w:rPr>
                      <w:b/>
                      <w:color w:val="FFFFFF" w:themeColor="background1"/>
                      <w:sz w:val="18"/>
                      <w:szCs w:val="18"/>
                    </w:rPr>
                    <w:t>*Leveraged Funds include required 25% local match</w:t>
                  </w:r>
                </w:p>
              </w:tc>
            </w:tr>
            <w:tr w:rsidR="00274334">
              <w:tc>
                <w:tcPr>
                  <w:tcW w:w="3685" w:type="dxa"/>
                  <w:tcBorders>
                    <w:right w:val="nil"/>
                  </w:tcBorders>
                </w:tcPr>
                <w:p w:rsidR="00274334" w:rsidRDefault="00274334">
                  <w:pPr>
                    <w:widowControl w:val="0"/>
                    <w:rPr>
                      <w:rFonts w:ascii="Calibri,Bold" w:eastAsiaTheme="minorHAnsi" w:hAnsi="Calibri,Bold" w:cs="Calibri,Bold"/>
                      <w:b/>
                      <w:bCs/>
                      <w:color w:val="244061"/>
                      <w:sz w:val="20"/>
                      <w:szCs w:val="20"/>
                    </w:rPr>
                  </w:pPr>
                </w:p>
              </w:tc>
            </w:tr>
          </w:tbl>
          <w:p w:rsidR="00274334" w:rsidRDefault="00274334"/>
        </w:tc>
        <w:tc>
          <w:tcPr>
            <w:tcW w:w="7128" w:type="dxa"/>
            <w:tcBorders>
              <w:left w:val="single" w:sz="4" w:space="0" w:color="auto"/>
              <w:right w:val="nil"/>
            </w:tcBorders>
          </w:tcPr>
          <w:p w:rsidR="00274334" w:rsidRDefault="00FC4197">
            <w:pPr>
              <w:widowControl w:val="0"/>
              <w:rPr>
                <w:b/>
              </w:rPr>
            </w:pPr>
            <w:r>
              <w:rPr>
                <w:rFonts w:ascii="Calibri,Bold" w:eastAsiaTheme="minorHAnsi" w:hAnsi="Calibri,Bold" w:cs="Calibri,Bold"/>
                <w:b/>
                <w:color w:val="330033"/>
                <w:sz w:val="28"/>
                <w:szCs w:val="28"/>
              </w:rPr>
              <w:t>Project Narrative</w:t>
            </w:r>
          </w:p>
          <w:p w:rsidR="00274334" w:rsidRDefault="00274334">
            <w:pPr>
              <w:widowControl w:val="0"/>
              <w:rPr>
                <w:color w:val="4F81BD" w:themeColor="accent1"/>
              </w:rPr>
            </w:pPr>
          </w:p>
          <w:p w:rsidR="00274334" w:rsidRDefault="00FC4197">
            <w:pPr>
              <w:widowControl w:val="0"/>
            </w:pPr>
            <w:r>
              <w:t>The lack of sewage treatment in many small communities in Southeast Minnesota is causing surface water and groundwater pollution. Ten of these small communities will be the target of the technical assistance provided by this project. The</w:t>
            </w:r>
            <w:r>
              <w:t xml:space="preserve">se communities have community or individual straight pipes which are discharging raw sewage directly into the environment, surfacing sewage, or have sewage contaminating groundwater.  </w:t>
            </w:r>
          </w:p>
          <w:p w:rsidR="00274334" w:rsidRDefault="00FC4197">
            <w:pPr>
              <w:widowControl w:val="0"/>
            </w:pPr>
            <w:r>
              <w:t xml:space="preserve"> </w:t>
            </w:r>
          </w:p>
          <w:p w:rsidR="00274334" w:rsidRDefault="00FC4197">
            <w:pPr>
              <w:widowControl w:val="0"/>
            </w:pPr>
            <w:r>
              <w:t xml:space="preserve">Working closely with county staff and local elected officials, two staff will provide a wide range of technical assistance to help these small communities follow the many steps needed to upgrade their sewage treatment systems.  These steps include forming </w:t>
            </w:r>
            <w:r>
              <w:t xml:space="preserve">community task forces, studying the large number of sewage treatment system options, applying for and pursuing funding, forming sewer districts, preparing ordinances, and developing operation and management plans.  </w:t>
            </w:r>
          </w:p>
          <w:p w:rsidR="00274334" w:rsidRDefault="00FC4197">
            <w:pPr>
              <w:widowControl w:val="0"/>
            </w:pPr>
            <w:r>
              <w:t xml:space="preserve"> </w:t>
            </w:r>
          </w:p>
          <w:p w:rsidR="00274334" w:rsidRDefault="00FC4197">
            <w:pPr>
              <w:widowControl w:val="0"/>
            </w:pPr>
            <w:r>
              <w:t>With the assistance provided by this p</w:t>
            </w:r>
            <w:r>
              <w:t>roject, a goal of six communities will construct new community sewage treatment systems, which will eliminate approximately 152,550 gallons of untreated sewage per day from entering the Lower Mississippi River and Cedar River Basins (55 million gallons per</w:t>
            </w:r>
            <w:r>
              <w:t xml:space="preserve"> year). These projects will make significant progress towards the achievement of the Lower Mississippi River Basin Total Maximum Daily Load for Fecal Coliform Bacteria. </w:t>
            </w:r>
          </w:p>
          <w:p w:rsidR="00274334" w:rsidRDefault="00274334">
            <w:pPr>
              <w:widowControl w:val="0"/>
            </w:pPr>
          </w:p>
          <w:p w:rsidR="00274334" w:rsidRDefault="00FC4197">
            <w:pPr>
              <w:widowControl w:val="0"/>
            </w:pPr>
            <w:r>
              <w:rPr>
                <w:rFonts w:asciiTheme="majorHAnsi" w:hAnsiTheme="majorHAnsi"/>
                <w:b/>
                <w:color w:val="4F81BD" w:themeColor="accent1"/>
                <w:sz w:val="28"/>
                <w:szCs w:val="28"/>
              </w:rPr>
              <w:t>Pollution Reduction Estimates</w:t>
            </w:r>
          </w:p>
          <w:tbl>
            <w:tblPr>
              <w:tblStyle w:val="LightGrid-Accent1"/>
              <w:tblW w:w="669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80" w:firstRow="0" w:lastRow="0" w:firstColumn="1" w:lastColumn="0" w:noHBand="1" w:noVBand="0"/>
            </w:tblPr>
            <w:tblGrid>
              <w:gridCol w:w="3116"/>
              <w:gridCol w:w="1527"/>
              <w:gridCol w:w="2055"/>
            </w:tblGrid>
            <w:tr w:rsidR="00274334" w:rsidTr="00274334">
              <w:trPr>
                <w:trHeight w:val="414"/>
                <w:tblHeader/>
              </w:trPr>
              <w:tc>
                <w:tcPr>
                  <w:cnfStyle w:val="001000000000" w:firstRow="0" w:lastRow="0" w:firstColumn="1" w:lastColumn="0" w:oddVBand="0" w:evenVBand="0" w:oddHBand="0" w:evenHBand="0" w:firstRowFirstColumn="0" w:firstRowLastColumn="0" w:lastRowFirstColumn="0" w:lastRowLastColumn="0"/>
                  <w:tcW w:w="3116" w:type="dxa"/>
                  <w:shd w:val="clear" w:color="auto" w:fill="8DB3E2" w:themeFill="text2" w:themeFillTint="66"/>
                </w:tcPr>
                <w:p w:rsidR="00274334" w:rsidRDefault="00FC4197">
                  <w:pPr>
                    <w:widowControl w:val="0"/>
                    <w:jc w:val="center"/>
                    <w:rPr>
                      <w:color w:val="FFFFFF" w:themeColor="background1"/>
                    </w:rPr>
                  </w:pPr>
                  <w:r>
                    <w:rPr>
                      <w:rFonts w:asciiTheme="minorHAnsi" w:hAnsiTheme="minorHAnsi"/>
                      <w:color w:val="FFFFFF" w:themeColor="background1"/>
                    </w:rPr>
                    <w:t>Indicator Name</w:t>
                  </w:r>
                </w:p>
              </w:tc>
              <w:tc>
                <w:tcPr>
                  <w:tcW w:w="1527" w:type="dxa"/>
                  <w:shd w:val="clear" w:color="auto" w:fill="8DB3E2" w:themeFill="text2" w:themeFillTint="66"/>
                </w:tcPr>
                <w:p w:rsidR="00274334" w:rsidRDefault="00FC4197">
                  <w:pPr>
                    <w:widowControl w:val="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Proposed</w:t>
                  </w:r>
                </w:p>
              </w:tc>
              <w:tc>
                <w:tcPr>
                  <w:tcW w:w="2055" w:type="dxa"/>
                  <w:shd w:val="clear" w:color="auto" w:fill="8DB3E2" w:themeFill="text2" w:themeFillTint="66"/>
                </w:tcPr>
                <w:p w:rsidR="00274334" w:rsidRDefault="00FC4197">
                  <w:pPr>
                    <w:widowControl w:val="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Actual</w:t>
                  </w:r>
                </w:p>
              </w:tc>
            </w:tr>
            <w:tr w:rsidR="00274334" w:rsidTr="00274334">
              <w:trPr>
                <w:trHeight w:val="634"/>
              </w:trPr>
              <w:tc>
                <w:tcPr>
                  <w:cnfStyle w:val="001000000000" w:firstRow="0" w:lastRow="0" w:firstColumn="1" w:lastColumn="0" w:oddVBand="0" w:evenVBand="0" w:oddHBand="0" w:evenHBand="0" w:firstRowFirstColumn="0" w:firstRowLastColumn="0" w:lastRowFirstColumn="0" w:lastRowLastColumn="0"/>
                  <w:tcW w:w="3116" w:type="dxa"/>
                  <w:shd w:val="clear" w:color="auto" w:fill="D3DFEE" w:themeFill="accent1" w:themeFillTint="3F"/>
                </w:tcPr>
                <w:p w:rsidR="00274334" w:rsidRDefault="00FC4197">
                  <w:pPr>
                    <w:widowControl w:val="0"/>
                  </w:pPr>
                  <w:r>
                    <w:rPr>
                      <w:rFonts w:asciiTheme="minorHAnsi" w:hAnsiTheme="minorHAnsi"/>
                    </w:rPr>
                    <w:t xml:space="preserve"> </w:t>
                  </w:r>
                </w:p>
                <w:p w:rsidR="00274334" w:rsidRDefault="00FC4197">
                  <w:pPr>
                    <w:widowControl w:val="0"/>
                  </w:pPr>
                  <w:r>
                    <w:rPr>
                      <w:rFonts w:asciiTheme="minorHAnsi" w:hAnsiTheme="minorHAnsi"/>
                    </w:rPr>
                    <w:t>Pathogens (E. Coli) (</w:t>
                  </w:r>
                  <w:r>
                    <w:rPr>
                      <w:rFonts w:asciiTheme="minorHAnsi" w:hAnsiTheme="minorHAnsi"/>
                    </w:rPr>
                    <w:t>CFU)</w:t>
                  </w:r>
                </w:p>
              </w:tc>
              <w:tc>
                <w:tcPr>
                  <w:tcW w:w="1527" w:type="dxa"/>
                  <w:shd w:val="clear" w:color="auto" w:fill="D3DFEE" w:themeFill="accent1" w:themeFillTint="3F"/>
                </w:tcPr>
                <w:p w:rsidR="00274334" w:rsidRDefault="00FC4197">
                  <w:pPr>
                    <w:widowControl w:val="0"/>
                    <w:jc w:val="center"/>
                    <w:cnfStyle w:val="000000000000" w:firstRow="0" w:lastRow="0" w:firstColumn="0" w:lastColumn="0" w:oddVBand="0" w:evenVBand="0" w:oddHBand="0" w:evenHBand="0" w:firstRowFirstColumn="0" w:firstRowLastColumn="0" w:lastRowFirstColumn="0" w:lastRowLastColumn="0"/>
                  </w:pPr>
                  <w:r>
                    <w:t>23230000000000000</w:t>
                  </w:r>
                </w:p>
              </w:tc>
              <w:tc>
                <w:tcPr>
                  <w:tcW w:w="2055" w:type="dxa"/>
                  <w:shd w:val="clear" w:color="auto" w:fill="D3DFEE" w:themeFill="accent1" w:themeFillTint="3F"/>
                </w:tcPr>
                <w:p w:rsidR="00274334" w:rsidRDefault="00274334">
                  <w:pPr>
                    <w:widowControl w:val="0"/>
                    <w:jc w:val="center"/>
                    <w:cnfStyle w:val="000000000000" w:firstRow="0" w:lastRow="0" w:firstColumn="0" w:lastColumn="0" w:oddVBand="0" w:evenVBand="0" w:oddHBand="0" w:evenHBand="0" w:firstRowFirstColumn="0" w:firstRowLastColumn="0" w:lastRowFirstColumn="0" w:lastRowLastColumn="0"/>
                  </w:pPr>
                </w:p>
              </w:tc>
            </w:tr>
          </w:tbl>
          <w:p w:rsidR="00274334" w:rsidRDefault="00274334">
            <w:pPr>
              <w:widowControl w:val="0"/>
              <w:rPr>
                <w:color w:val="4F81BD" w:themeColor="accent1"/>
              </w:rPr>
            </w:pPr>
          </w:p>
        </w:tc>
      </w:tr>
    </w:tbl>
    <w:p w:rsidR="00274334" w:rsidRDefault="0027433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0" w:line="240" w:lineRule="auto"/>
        <w:rPr>
          <w:color w:val="1F497D" w:themeColor="text2"/>
          <w:sz w:val="16"/>
          <w:szCs w:val="16"/>
        </w:rPr>
      </w:pPr>
    </w:p>
    <w:p w:rsidR="00274334" w:rsidRDefault="00FC419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0" w:line="240" w:lineRule="auto"/>
        <w:rPr>
          <w:color w:val="4F81BD" w:themeColor="accent1"/>
        </w:rPr>
      </w:pPr>
      <w:r>
        <w:rPr>
          <w:color w:val="4F81BD" w:themeColor="accent1"/>
        </w:rPr>
        <w:t xml:space="preserve"> </w:t>
      </w:r>
    </w:p>
    <w:p w:rsidR="00E04B3B" w:rsidRDefault="00E04B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0" w:line="240" w:lineRule="auto"/>
        <w:rPr>
          <w:color w:val="4F81BD" w:themeColor="accent1"/>
        </w:rPr>
      </w:pPr>
    </w:p>
    <w:p w:rsidR="00E04B3B" w:rsidRDefault="00E04B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0" w:line="240" w:lineRule="auto"/>
        <w:rPr>
          <w:color w:val="1F497D" w:themeColor="text2"/>
          <w:sz w:val="16"/>
          <w:szCs w:val="16"/>
        </w:rPr>
      </w:pPr>
    </w:p>
    <w:p w:rsidR="00E04B3B" w:rsidRDefault="00E04B3B" w:rsidP="00E04B3B">
      <w:pPr>
        <w:pBdr>
          <w:top w:val="none" w:sz="0" w:space="0" w:color="auto"/>
          <w:left w:val="none" w:sz="0" w:space="0" w:color="auto"/>
          <w:bottom w:val="none" w:sz="0" w:space="0" w:color="auto"/>
          <w:right w:val="none" w:sz="0" w:space="0" w:color="auto"/>
          <w:between w:val="none" w:sz="0" w:space="0" w:color="auto"/>
        </w:pBdr>
        <w:spacing w:after="0" w:line="259" w:lineRule="auto"/>
        <w:rPr>
          <w:rFonts w:ascii="Calibri" w:eastAsia="Calibri" w:hAnsi="Calibri" w:cs="Times New Roman"/>
          <w:b/>
          <w:sz w:val="28"/>
        </w:rPr>
      </w:pPr>
      <w:r>
        <w:rPr>
          <w:rFonts w:ascii="Calibri" w:eastAsia="Calibri" w:hAnsi="Calibri" w:cs="Times New Roman"/>
          <w:b/>
          <w:sz w:val="28"/>
        </w:rPr>
        <w:t xml:space="preserve">Project Final Report Summary </w:t>
      </w:r>
      <w:r>
        <w:rPr>
          <w:rFonts w:ascii="Calibri" w:eastAsia="Calibri" w:hAnsi="Calibri" w:cs="Times New Roman"/>
          <w:b/>
          <w:sz w:val="28"/>
        </w:rPr>
        <w:tab/>
      </w:r>
      <w:r>
        <w:rPr>
          <w:rFonts w:ascii="Calibri" w:eastAsia="Calibri" w:hAnsi="Calibri" w:cs="Times New Roman"/>
          <w:b/>
          <w:sz w:val="28"/>
        </w:rPr>
        <w:tab/>
      </w:r>
      <w:r>
        <w:rPr>
          <w:rFonts w:ascii="Calibri" w:eastAsia="Calibri" w:hAnsi="Calibri" w:cs="Times New Roman"/>
          <w:b/>
          <w:sz w:val="28"/>
        </w:rPr>
        <w:tab/>
      </w:r>
      <w:r>
        <w:rPr>
          <w:rFonts w:ascii="Calibri" w:eastAsia="Calibri" w:hAnsi="Calibri" w:cs="Times New Roman"/>
          <w:b/>
          <w:sz w:val="28"/>
        </w:rPr>
        <w:tab/>
      </w:r>
      <w:r>
        <w:rPr>
          <w:rFonts w:ascii="Calibri" w:eastAsia="Calibri" w:hAnsi="Calibri" w:cs="Times New Roman"/>
          <w:b/>
          <w:sz w:val="28"/>
        </w:rPr>
        <w:tab/>
      </w:r>
      <w:r>
        <w:rPr>
          <w:rFonts w:ascii="Calibri" w:eastAsia="Calibri" w:hAnsi="Calibri" w:cs="Times New Roman"/>
          <w:b/>
          <w:sz w:val="28"/>
        </w:rPr>
        <w:tab/>
      </w:r>
      <w:r>
        <w:rPr>
          <w:rFonts w:ascii="Calibri" w:eastAsia="Calibri" w:hAnsi="Calibri" w:cs="Times New Roman"/>
          <w:b/>
          <w:sz w:val="28"/>
        </w:rPr>
        <w:tab/>
        <w:t>December 2016</w:t>
      </w:r>
    </w:p>
    <w:p w:rsidR="00E04B3B" w:rsidRDefault="00E04B3B" w:rsidP="00E04B3B">
      <w:pPr>
        <w:pBdr>
          <w:top w:val="none" w:sz="0" w:space="0" w:color="auto"/>
          <w:left w:val="none" w:sz="0" w:space="0" w:color="auto"/>
          <w:bottom w:val="none" w:sz="0" w:space="0" w:color="auto"/>
          <w:right w:val="none" w:sz="0" w:space="0" w:color="auto"/>
          <w:between w:val="none" w:sz="0" w:space="0" w:color="auto"/>
        </w:pBdr>
        <w:spacing w:after="0" w:line="259" w:lineRule="auto"/>
        <w:rPr>
          <w:rFonts w:ascii="Calibri" w:eastAsia="Calibri" w:hAnsi="Calibri" w:cs="Times New Roman"/>
        </w:rPr>
      </w:pPr>
      <w:r w:rsidRPr="00E04B3B">
        <w:rPr>
          <w:rFonts w:ascii="Calibri" w:eastAsia="Calibri" w:hAnsi="Calibri" w:cs="Times New Roman"/>
        </w:rPr>
        <w:t xml:space="preserve"> </w:t>
      </w:r>
      <w:r w:rsidRPr="00E04B3B">
        <w:rPr>
          <w:rFonts w:ascii="Calibri" w:eastAsia="Calibri" w:hAnsi="Calibri" w:cs="Times New Roman"/>
        </w:rPr>
        <w:t>The lack of sewage treatment in many small communities in Southeast Minnesota is causing surface water and groundwater pollution. Since 2002, the Southeast Minnesota Wastewater Initiative has provided facilitation services to small communities seeking solut</w:t>
      </w:r>
      <w:bookmarkStart w:id="0" w:name="_GoBack"/>
      <w:bookmarkEnd w:id="0"/>
      <w:r w:rsidRPr="00E04B3B">
        <w:rPr>
          <w:rFonts w:ascii="Calibri" w:eastAsia="Calibri" w:hAnsi="Calibri" w:cs="Times New Roman"/>
        </w:rPr>
        <w:t xml:space="preserve">ions to their wastewater problems. The current grant led to the completion of seven community projects, eliminating an estimated 53,100 gallons of untreated sewage per day (19 million gallons per year) from lakes streams and rivers of SE Minnesota.  </w:t>
      </w:r>
    </w:p>
    <w:p w:rsidR="00E04B3B" w:rsidRDefault="00E04B3B" w:rsidP="00E04B3B">
      <w:pPr>
        <w:pBdr>
          <w:top w:val="none" w:sz="0" w:space="0" w:color="auto"/>
          <w:left w:val="none" w:sz="0" w:space="0" w:color="auto"/>
          <w:bottom w:val="none" w:sz="0" w:space="0" w:color="auto"/>
          <w:right w:val="none" w:sz="0" w:space="0" w:color="auto"/>
          <w:between w:val="none" w:sz="0" w:space="0" w:color="auto"/>
        </w:pBdr>
        <w:spacing w:after="0" w:line="259" w:lineRule="auto"/>
        <w:rPr>
          <w:rFonts w:ascii="Calibri" w:eastAsia="Calibri" w:hAnsi="Calibri" w:cs="Times New Roman"/>
        </w:rPr>
      </w:pPr>
    </w:p>
    <w:p w:rsidR="00E04B3B" w:rsidRDefault="00E04B3B" w:rsidP="00E04B3B">
      <w:pPr>
        <w:pBdr>
          <w:top w:val="none" w:sz="0" w:space="0" w:color="auto"/>
          <w:left w:val="none" w:sz="0" w:space="0" w:color="auto"/>
          <w:bottom w:val="none" w:sz="0" w:space="0" w:color="auto"/>
          <w:right w:val="none" w:sz="0" w:space="0" w:color="auto"/>
          <w:between w:val="none" w:sz="0" w:space="0" w:color="auto"/>
        </w:pBdr>
        <w:spacing w:after="0" w:line="259" w:lineRule="auto"/>
        <w:rPr>
          <w:rFonts w:ascii="Calibri" w:eastAsia="Calibri" w:hAnsi="Calibri" w:cs="Times New Roman"/>
        </w:rPr>
      </w:pPr>
    </w:p>
    <w:p w:rsidR="00E04B3B" w:rsidRDefault="00E04B3B" w:rsidP="00E04B3B">
      <w:pPr>
        <w:pBdr>
          <w:top w:val="none" w:sz="0" w:space="0" w:color="auto"/>
          <w:left w:val="none" w:sz="0" w:space="0" w:color="auto"/>
          <w:bottom w:val="none" w:sz="0" w:space="0" w:color="auto"/>
          <w:right w:val="none" w:sz="0" w:space="0" w:color="auto"/>
          <w:between w:val="none" w:sz="0" w:space="0" w:color="auto"/>
        </w:pBdr>
        <w:spacing w:after="0" w:line="259" w:lineRule="auto"/>
        <w:rPr>
          <w:rFonts w:ascii="Calibri" w:eastAsia="Calibri" w:hAnsi="Calibri" w:cs="Times New Roman"/>
        </w:rPr>
      </w:pPr>
    </w:p>
    <w:p w:rsidR="00E04B3B" w:rsidRPr="00E04B3B" w:rsidRDefault="00E04B3B" w:rsidP="00E04B3B">
      <w:pPr>
        <w:pBdr>
          <w:top w:val="none" w:sz="0" w:space="0" w:color="auto"/>
          <w:left w:val="none" w:sz="0" w:space="0" w:color="auto"/>
          <w:bottom w:val="none" w:sz="0" w:space="0" w:color="auto"/>
          <w:right w:val="none" w:sz="0" w:space="0" w:color="auto"/>
          <w:between w:val="none" w:sz="0" w:space="0" w:color="auto"/>
        </w:pBdr>
        <w:spacing w:after="0" w:line="259" w:lineRule="auto"/>
        <w:rPr>
          <w:rFonts w:ascii="Calibri" w:eastAsia="Calibri" w:hAnsi="Calibri" w:cs="Times New Roman"/>
        </w:rPr>
      </w:pPr>
    </w:p>
    <w:p w:rsidR="00E04B3B" w:rsidRPr="00E04B3B" w:rsidRDefault="00E04B3B" w:rsidP="00E04B3B">
      <w:pPr>
        <w:pBdr>
          <w:top w:val="none" w:sz="0" w:space="0" w:color="auto"/>
          <w:left w:val="none" w:sz="0" w:space="0" w:color="auto"/>
          <w:bottom w:val="none" w:sz="0" w:space="0" w:color="auto"/>
          <w:right w:val="none" w:sz="0" w:space="0" w:color="auto"/>
          <w:between w:val="none" w:sz="0" w:space="0" w:color="auto"/>
        </w:pBdr>
        <w:spacing w:after="0" w:line="259" w:lineRule="auto"/>
        <w:rPr>
          <w:rFonts w:ascii="Calibri" w:eastAsia="Calibri" w:hAnsi="Calibri" w:cs="Times New Roman"/>
          <w:u w:val="single"/>
        </w:rPr>
      </w:pPr>
      <w:r w:rsidRPr="00E04B3B">
        <w:rPr>
          <w:rFonts w:ascii="Calibri" w:eastAsia="Calibri" w:hAnsi="Calibri" w:cs="Times New Roman"/>
          <w:u w:val="single"/>
        </w:rPr>
        <w:t>Completed Projects during this grant:</w:t>
      </w:r>
    </w:p>
    <w:p w:rsidR="00E04B3B" w:rsidRPr="00E04B3B" w:rsidRDefault="00E04B3B" w:rsidP="00E04B3B">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59" w:lineRule="auto"/>
        <w:rPr>
          <w:rFonts w:ascii="Calibri" w:eastAsia="Calibri" w:hAnsi="Calibri" w:cs="Times New Roman"/>
          <w:u w:val="single"/>
        </w:rPr>
      </w:pPr>
      <w:r w:rsidRPr="00E04B3B">
        <w:rPr>
          <w:rFonts w:ascii="Calibri" w:eastAsia="Calibri" w:hAnsi="Calibri" w:cs="Times New Roman"/>
        </w:rPr>
        <w:t>Cedar Beach, Oronoco Township, Olmsted County.  23 residential properties connected to a collection system taking sewage to a cluster mound drainfield.  Oronoco Township will own the system.</w:t>
      </w:r>
    </w:p>
    <w:p w:rsidR="00E04B3B" w:rsidRPr="00E04B3B" w:rsidRDefault="00E04B3B" w:rsidP="00E04B3B">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59" w:lineRule="auto"/>
        <w:rPr>
          <w:rFonts w:ascii="Calibri" w:eastAsia="Calibri" w:hAnsi="Calibri" w:cs="Times New Roman"/>
        </w:rPr>
      </w:pPr>
      <w:r w:rsidRPr="00E04B3B">
        <w:rPr>
          <w:rFonts w:ascii="Calibri" w:eastAsia="Calibri" w:hAnsi="Calibri" w:cs="Times New Roman"/>
        </w:rPr>
        <w:t xml:space="preserve">Lake Francis Woodduck Ln, Le Sueur County. 29 homes organized a private cluster system with a mound drainfield. </w:t>
      </w:r>
    </w:p>
    <w:p w:rsidR="00E04B3B" w:rsidRPr="00E04B3B" w:rsidRDefault="00E04B3B" w:rsidP="00E04B3B">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59" w:lineRule="auto"/>
        <w:rPr>
          <w:rFonts w:ascii="Calibri" w:eastAsia="Calibri" w:hAnsi="Calibri" w:cs="Times New Roman"/>
        </w:rPr>
      </w:pPr>
      <w:r w:rsidRPr="00E04B3B">
        <w:rPr>
          <w:rFonts w:ascii="Calibri" w:eastAsia="Calibri" w:hAnsi="Calibri" w:cs="Times New Roman"/>
        </w:rPr>
        <w:t xml:space="preserve">Pratt, Steele County. CAR concluded that all 12 properties have onsite options. Community has decided to utilize private ISTS for fixes. 2 properties have been fixed so far with the rest to be fixed as properties transfer. </w:t>
      </w:r>
    </w:p>
    <w:p w:rsidR="00E04B3B" w:rsidRPr="00E04B3B" w:rsidRDefault="00E04B3B" w:rsidP="00E04B3B">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59" w:lineRule="auto"/>
        <w:rPr>
          <w:rFonts w:ascii="Calibri" w:eastAsia="Calibri" w:hAnsi="Calibri" w:cs="Times New Roman"/>
        </w:rPr>
      </w:pPr>
      <w:r w:rsidRPr="00E04B3B">
        <w:rPr>
          <w:rFonts w:ascii="Calibri" w:eastAsia="Calibri" w:hAnsi="Calibri" w:cs="Times New Roman"/>
        </w:rPr>
        <w:t>Greenleafton, Fillmore County.  34 residential properties connected to a collection system taking sewage to a cluster in-ground drainfield.  County owned system.</w:t>
      </w:r>
    </w:p>
    <w:p w:rsidR="00E04B3B" w:rsidRPr="00E04B3B" w:rsidRDefault="00E04B3B" w:rsidP="00E04B3B">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59" w:lineRule="auto"/>
        <w:rPr>
          <w:rFonts w:ascii="Calibri" w:eastAsia="Calibri" w:hAnsi="Calibri" w:cs="Times New Roman"/>
        </w:rPr>
      </w:pPr>
      <w:r w:rsidRPr="00E04B3B">
        <w:rPr>
          <w:rFonts w:ascii="Calibri" w:eastAsia="Calibri" w:hAnsi="Calibri" w:cs="Times New Roman"/>
        </w:rPr>
        <w:t>Turtle Creek 1, Mower County, 28 homes.  Sewage collection system completed with connection to the City of Austin where they had been annexed.  Approximately ½ of the homes have made the connection with municipal water also been included in the project.</w:t>
      </w:r>
    </w:p>
    <w:p w:rsidR="00E04B3B" w:rsidRPr="00E04B3B" w:rsidRDefault="00E04B3B" w:rsidP="00E04B3B">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59" w:lineRule="auto"/>
        <w:rPr>
          <w:rFonts w:ascii="Calibri" w:eastAsia="Calibri" w:hAnsi="Calibri" w:cs="Times New Roman"/>
        </w:rPr>
      </w:pPr>
      <w:r w:rsidRPr="00E04B3B">
        <w:rPr>
          <w:rFonts w:ascii="Calibri" w:eastAsia="Calibri" w:hAnsi="Calibri" w:cs="Times New Roman"/>
        </w:rPr>
        <w:t>Nicolville Corrective Action project, Red Rock Township, Mower County is completed with all the basements fixed to have clean water routed out of the collection system and all the connections from the home to the sewer main in the street being redone. 14 homes.</w:t>
      </w:r>
    </w:p>
    <w:p w:rsidR="00E04B3B" w:rsidRDefault="00E04B3B" w:rsidP="00E04B3B">
      <w:pPr>
        <w:numPr>
          <w:ilvl w:val="0"/>
          <w:numId w:val="1"/>
        </w:numPr>
        <w:pBdr>
          <w:top w:val="none" w:sz="0" w:space="0" w:color="auto"/>
          <w:left w:val="none" w:sz="0" w:space="0" w:color="auto"/>
          <w:bottom w:val="none" w:sz="0" w:space="0" w:color="auto"/>
          <w:right w:val="none" w:sz="0" w:space="0" w:color="auto"/>
          <w:between w:val="none" w:sz="0" w:space="0" w:color="auto"/>
        </w:pBdr>
        <w:spacing w:after="0" w:line="259" w:lineRule="auto"/>
        <w:rPr>
          <w:rFonts w:ascii="Calibri" w:eastAsia="Calibri" w:hAnsi="Calibri" w:cs="Times New Roman"/>
        </w:rPr>
      </w:pPr>
      <w:r w:rsidRPr="00E04B3B">
        <w:rPr>
          <w:rFonts w:ascii="Calibri" w:eastAsia="Calibri" w:hAnsi="Calibri" w:cs="Times New Roman"/>
        </w:rPr>
        <w:t>Whalan Block 12; 11 homes plus townhall and gazebo.  City needed to provide water and septic for a remodeled Town Hall.  1 homeowner needed to replace a failing septic system.  City owned a well that was underutilized and upgraded to serve 12 homeowners plus Whalan Town Hall. All came together for a great solution. Self-funded</w:t>
      </w:r>
    </w:p>
    <w:p w:rsidR="00E04B3B" w:rsidRPr="00E04B3B" w:rsidRDefault="00E04B3B" w:rsidP="00E04B3B">
      <w:pPr>
        <w:pBdr>
          <w:top w:val="none" w:sz="0" w:space="0" w:color="auto"/>
          <w:left w:val="none" w:sz="0" w:space="0" w:color="auto"/>
          <w:bottom w:val="none" w:sz="0" w:space="0" w:color="auto"/>
          <w:right w:val="none" w:sz="0" w:space="0" w:color="auto"/>
          <w:between w:val="none" w:sz="0" w:space="0" w:color="auto"/>
        </w:pBdr>
        <w:spacing w:after="0" w:line="259" w:lineRule="auto"/>
        <w:ind w:left="720"/>
        <w:rPr>
          <w:rFonts w:ascii="Calibri" w:eastAsia="Calibri" w:hAnsi="Calibri" w:cs="Times New Roman"/>
        </w:rPr>
      </w:pPr>
    </w:p>
    <w:p w:rsidR="00E04B3B" w:rsidRPr="00E04B3B" w:rsidRDefault="00E04B3B" w:rsidP="00E04B3B">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Times New Roman"/>
        </w:rPr>
      </w:pPr>
      <w:r w:rsidRPr="00E04B3B">
        <w:rPr>
          <w:rFonts w:ascii="Calibri" w:eastAsia="Calibri" w:hAnsi="Calibri" w:cs="Times New Roman"/>
        </w:rPr>
        <w:t>Since its inception in 2002, SEMWI has worked with local task forces leading to twenty five small communities finding solutions to their wastewater needs, eliminating 355,090 gallons of untreated sewage per day (130 million gallons per year) from lakes, streams, and rivers of Southeast Minnesota. A spreadsheet and map showing progress of the SE MN Wastewater Initiative shows details of the projects completed (see attachments).</w:t>
      </w:r>
    </w:p>
    <w:p w:rsidR="00E04B3B" w:rsidRPr="00E04B3B" w:rsidRDefault="00E04B3B" w:rsidP="00E04B3B">
      <w:pPr>
        <w:widowControl w:val="0"/>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Times New Roman"/>
        </w:rPr>
      </w:pPr>
      <w:r w:rsidRPr="00E04B3B">
        <w:rPr>
          <w:rFonts w:ascii="Calibri" w:eastAsia="Calibri" w:hAnsi="Calibri" w:cs="Times New Roman"/>
        </w:rPr>
        <w:t xml:space="preserve">To accomplish this task, the SE MN Water Resources Board contracted with Cannon River Watershed Partnership (CRWP) to host two facilitator positions.  The facilitators provide a wide range of technical assistance to help these small communities follow the many steps needed to upgrade their sewage treatment systems.  These steps include forming community task forces, studying the large number of sewage treatment system options, applying for and pursuing funding, forming sewer districts, preparing ordinances, and developing operation and management plans.  Each facilitator worked 0.75FTE, or 1560 hours per year, for two years at a billable rate of $35/hour.  At the close of this grant the facilitators continue to work through our new CWF grant with ten communities that have begun the process, providing continuity of service to these communities.The SE MN Wastewater Initiative steering committee meets bi-monthly to provide support and direction to the facilitators.  </w:t>
      </w:r>
    </w:p>
    <w:p w:rsidR="00E04B3B" w:rsidRPr="00E04B3B" w:rsidRDefault="00E04B3B" w:rsidP="00E04B3B">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Times New Roman"/>
        </w:rPr>
      </w:pPr>
      <w:r w:rsidRPr="00E04B3B">
        <w:rPr>
          <w:rFonts w:ascii="Calibri" w:eastAsia="Calibri" w:hAnsi="Calibri" w:cs="Times New Roman"/>
        </w:rPr>
        <w:t>Articles about our projects appeared in many publications, information about our projects is available on multiple websites, the facilitators have given presentations about this project and are developing video resources to help others develop similar models.  A video was produced about our project by the Bush Foundation and can be seen on the CRWP website.  A full listing of these activities can be found in the annual narrative reports attached in eLINK.</w:t>
      </w:r>
    </w:p>
    <w:p w:rsidR="00E04B3B" w:rsidRPr="00E04B3B" w:rsidRDefault="00E04B3B" w:rsidP="00E04B3B">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s="Times New Roman"/>
        </w:rPr>
      </w:pPr>
      <w:r w:rsidRPr="00E04B3B">
        <w:rPr>
          <w:rFonts w:ascii="Calibri" w:eastAsia="Calibri" w:hAnsi="Calibri" w:cs="Times New Roman"/>
        </w:rPr>
        <w:t xml:space="preserve">Two awards have been received, recognizing the work of the SE MN Wastewater Initiative:  The CRWP is the recipient of the Bush Foundation Prize for community innovation, in recognition of the Wastewater Initiative’s work facilitating community sewage treatment solutions.  Oronoco Township received a Local Government Initiative award for the Kings Park community sewage treatment system, of which Sheila Craig served as facilitator. The CRWP granted $15,000 to the SEMWRB to be used as a revolving loan fund for unsewered communities to access for specific activities that need completion prior to their grant funds kicking in.  </w:t>
      </w:r>
    </w:p>
    <w:p w:rsidR="00274334" w:rsidRDefault="0027433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0" w:line="240" w:lineRule="auto"/>
        <w:rPr>
          <w:color w:val="1F497D" w:themeColor="text2"/>
          <w:sz w:val="16"/>
          <w:szCs w:val="16"/>
        </w:rPr>
      </w:pPr>
    </w:p>
    <w:sectPr w:rsidR="00274334">
      <w:footerReference w:type="default" r:id="rId9"/>
      <w:type w:val="continuous"/>
      <w:pgSz w:w="12240" w:h="15840"/>
      <w:pgMar w:top="720" w:right="720" w:bottom="720" w:left="720" w:header="0" w:footer="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197" w:rsidRDefault="00FC4197">
      <w:pPr>
        <w:spacing w:after="0" w:line="240" w:lineRule="auto"/>
      </w:pPr>
      <w:r>
        <w:separator/>
      </w:r>
    </w:p>
  </w:endnote>
  <w:endnote w:type="continuationSeparator" w:id="0">
    <w:p w:rsidR="00FC4197" w:rsidRDefault="00FC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Bold">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312733"/>
      <w:docPartObj>
        <w:docPartGallery w:val="Page Numbers (Bottom of Page)"/>
        <w:docPartUnique/>
      </w:docPartObj>
    </w:sdtPr>
    <w:sdtEndPr>
      <w:rPr>
        <w:noProof/>
      </w:rPr>
    </w:sdtEndPr>
    <w:sdtContent>
      <w:tbl>
        <w:tblPr>
          <w:tblStyle w:val="TableGrid"/>
          <w:tblW w:w="11016" w:type="auto"/>
          <w:tblBorders>
            <w:top w:val="nil"/>
            <w:left w:val="nil"/>
            <w:bottom w:val="nil"/>
            <w:right w:val="nil"/>
            <w:insideH w:val="nil"/>
            <w:insideV w:val="nil"/>
          </w:tblBorders>
          <w:tblLook w:val="04A0" w:firstRow="1" w:lastRow="0" w:firstColumn="1" w:lastColumn="0" w:noHBand="0" w:noVBand="1"/>
        </w:tblPr>
        <w:tblGrid>
          <w:gridCol w:w="8928"/>
          <w:gridCol w:w="2088"/>
        </w:tblGrid>
        <w:tr w:rsidR="00274334">
          <w:tc>
            <w:tcPr>
              <w:tcW w:w="8928" w:type="dxa"/>
            </w:tcPr>
            <w:p w:rsidR="00274334" w:rsidRDefault="00FC4197">
              <w:pPr>
                <w:pStyle w:val="Footer"/>
                <w:jc w:val="center"/>
                <w:rPr>
                  <w:rFonts w:ascii="Calibri" w:eastAsiaTheme="minorHAnsi" w:hAnsi="Calibri" w:cs="Calibri"/>
                  <w:sz w:val="16"/>
                  <w:szCs w:val="16"/>
                </w:rPr>
              </w:pPr>
              <w:r>
                <w:rPr>
                  <w:rFonts w:ascii="Calibri" w:eastAsiaTheme="minorHAnsi" w:hAnsi="Calibri" w:cs="Calibri"/>
                  <w:sz w:val="16"/>
                  <w:szCs w:val="16"/>
                </w:rPr>
                <w:t>Minnesota Board of Water and Soil Resources ∙ An equal opportunity employer</w:t>
              </w:r>
            </w:p>
          </w:tc>
          <w:tc>
            <w:tcPr>
              <w:tcW w:w="2088" w:type="dxa"/>
              <w:tcBorders>
                <w:right w:val="nil"/>
              </w:tcBorders>
            </w:tcPr>
            <w:p w:rsidR="00274334" w:rsidRDefault="00FC4197">
              <w:pPr>
                <w:pStyle w:val="Footer"/>
                <w:jc w:val="right"/>
                <w:rPr>
                  <w:rFonts w:ascii="Calibri" w:eastAsiaTheme="minorHAnsi" w:hAnsi="Calibri" w:cs="Calibri"/>
                  <w:sz w:val="16"/>
                  <w:szCs w:val="16"/>
                </w:rPr>
              </w:pPr>
              <w:r>
                <w:fldChar w:fldCharType="begin"/>
              </w:r>
              <w:r>
                <w:instrText>PAGE   \* MERGEFORMAT</w:instrText>
              </w:r>
              <w:r>
                <w:fldChar w:fldCharType="separate"/>
              </w:r>
              <w:r w:rsidR="00E04B3B">
                <w:rPr>
                  <w:noProof/>
                </w:rPr>
                <w:t>2</w:t>
              </w:r>
              <w:r>
                <w:fldChar w:fldCharType="end"/>
              </w:r>
            </w:p>
          </w:tc>
        </w:tr>
      </w:tbl>
      <w:p w:rsidR="00274334" w:rsidRDefault="00FC4197">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197" w:rsidRDefault="00FC4197">
      <w:pPr>
        <w:spacing w:after="0" w:line="240" w:lineRule="auto"/>
      </w:pPr>
      <w:r>
        <w:separator/>
      </w:r>
    </w:p>
  </w:footnote>
  <w:footnote w:type="continuationSeparator" w:id="0">
    <w:p w:rsidR="00FC4197" w:rsidRDefault="00FC41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BA7413"/>
    <w:multiLevelType w:val="hybridMultilevel"/>
    <w:tmpl w:val="800C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34"/>
    <w:rsid w:val="00274334"/>
    <w:rsid w:val="00E04B3B"/>
    <w:rsid w:val="00FC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C8AFA-96FD-4BBE-A56A-8C407DA1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heme="minorEastAsia"/>
    </w:rPr>
  </w:style>
  <w:style w:type="paragraph" w:styleId="Heading1">
    <w:name w:val="heading 1"/>
    <w:basedOn w:val="Normal"/>
    <w:link w:val="Heading1Char"/>
    <w:pPr>
      <w:keepNext/>
      <w:keepLines/>
      <w:spacing w:before="480" w:after="0"/>
      <w:outlineLvl w:val="0"/>
    </w:pPr>
    <w:rPr>
      <w:rFonts w:asciiTheme="majorHAnsi" w:eastAsiaTheme="majorEastAsia" w:hAnsiTheme="majorHAnsi" w:cstheme="majorBidi"/>
      <w:b/>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heme="majorHAnsi" w:eastAsiaTheme="majorEastAsia" w:hAnsiTheme="majorHAnsi" w:cstheme="majorBidi"/>
      <w:b/>
      <w:color w:val="365F91" w:themeColor="accent1" w:themeShade="BF"/>
      <w:sz w:val="28"/>
      <w:szCs w:val="28"/>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1050</Words>
  <Characters>5813</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Board of Water and Soil Resources (BWSR)</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 Linda L</dc:creator>
  <cp:lastModifiedBy>Dahl, Linda L</cp:lastModifiedBy>
  <cp:revision>2</cp:revision>
  <dcterms:created xsi:type="dcterms:W3CDTF">2016-12-09T21:06:00Z</dcterms:created>
  <dcterms:modified xsi:type="dcterms:W3CDTF">2016-12-09T21:06:00Z</dcterms:modified>
</cp:coreProperties>
</file>